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DC95" w14:textId="77777777" w:rsidR="007B6DC0" w:rsidRDefault="00496F4B" w:rsidP="007B6DC0">
      <w:pPr>
        <w:tabs>
          <w:tab w:val="left" w:pos="4114"/>
          <w:tab w:val="left" w:pos="4301"/>
          <w:tab w:val="left" w:pos="4488"/>
        </w:tabs>
        <w:jc w:val="right"/>
        <w:outlineLvl w:val="0"/>
        <w:rPr>
          <w:b/>
          <w:sz w:val="20"/>
          <w:szCs w:val="20"/>
        </w:rPr>
      </w:pPr>
      <w:r>
        <w:rPr>
          <w:b/>
          <w:noProof/>
          <w:sz w:val="20"/>
          <w:szCs w:val="20"/>
        </w:rPr>
        <w:drawing>
          <wp:inline distT="0" distB="0" distL="0" distR="0" wp14:anchorId="4E44EE09" wp14:editId="456CBC97">
            <wp:extent cx="2818167" cy="355600"/>
            <wp:effectExtent l="0" t="0" r="0" b="0"/>
            <wp:docPr id="1" name="Picture 1" descr="C:\Users\Al Clark\Documents\SA templates\Smith&amp;AdcockLOGOwithL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Clark\Documents\SA templates\Smith&amp;AdcockLOGOwithLLP.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586"/>
                    <a:stretch/>
                  </pic:blipFill>
                  <pic:spPr bwMode="auto">
                    <a:xfrm>
                      <a:off x="0" y="0"/>
                      <a:ext cx="2818161" cy="355599"/>
                    </a:xfrm>
                    <a:prstGeom prst="rect">
                      <a:avLst/>
                    </a:prstGeom>
                    <a:noFill/>
                    <a:ln>
                      <a:noFill/>
                    </a:ln>
                    <a:extLst>
                      <a:ext uri="{53640926-AAD7-44D8-BBD7-CCE9431645EC}">
                        <a14:shadowObscured xmlns:a14="http://schemas.microsoft.com/office/drawing/2010/main"/>
                      </a:ext>
                    </a:extLst>
                  </pic:spPr>
                </pic:pic>
              </a:graphicData>
            </a:graphic>
          </wp:inline>
        </w:drawing>
      </w:r>
    </w:p>
    <w:p w14:paraId="501225CE" w14:textId="77777777" w:rsidR="007B6DC0" w:rsidRPr="00CD438C" w:rsidRDefault="007B6DC0" w:rsidP="007B6DC0">
      <w:pPr>
        <w:jc w:val="right"/>
        <w:rPr>
          <w:b/>
          <w:sz w:val="20"/>
          <w:szCs w:val="20"/>
        </w:rPr>
      </w:pPr>
      <w:smartTag w:uri="urn:schemas-microsoft-com:office:smarttags" w:element="place">
        <w:smartTag w:uri="urn:schemas-microsoft-com:office:smarttags" w:element="City">
          <w:r>
            <w:rPr>
              <w:b/>
              <w:sz w:val="20"/>
              <w:szCs w:val="20"/>
            </w:rPr>
            <w:t>Atlanta</w:t>
          </w:r>
        </w:smartTag>
      </w:smartTag>
      <w:r>
        <w:rPr>
          <w:b/>
          <w:sz w:val="20"/>
          <w:szCs w:val="20"/>
        </w:rPr>
        <w:t xml:space="preserve">      </w:t>
      </w:r>
      <w:smartTag w:uri="urn:schemas-microsoft-com:office:smarttags" w:element="place">
        <w:smartTag w:uri="urn:schemas-microsoft-com:office:smarttags" w:element="City">
          <w:r>
            <w:rPr>
              <w:b/>
              <w:sz w:val="20"/>
              <w:szCs w:val="20"/>
            </w:rPr>
            <w:t>Athens</w:t>
          </w:r>
        </w:smartTag>
      </w:smartTag>
    </w:p>
    <w:p w14:paraId="63413C55" w14:textId="77777777" w:rsidR="007B6DC0" w:rsidRPr="008C0ABD" w:rsidRDefault="007B6DC0" w:rsidP="007B6DC0">
      <w:pPr>
        <w:jc w:val="center"/>
        <w:rPr>
          <w:b/>
          <w:sz w:val="12"/>
          <w:szCs w:val="12"/>
        </w:rPr>
      </w:pPr>
    </w:p>
    <w:p w14:paraId="58B46351" w14:textId="77777777" w:rsidR="007B6DC0" w:rsidRDefault="007B6DC0" w:rsidP="007B6DC0">
      <w:pPr>
        <w:jc w:val="both"/>
        <w:outlineLvl w:val="0"/>
        <w:rPr>
          <w:b/>
          <w:sz w:val="72"/>
          <w:szCs w:val="72"/>
        </w:rPr>
      </w:pPr>
      <w:r w:rsidRPr="00CD438C">
        <w:rPr>
          <w:b/>
          <w:sz w:val="72"/>
          <w:szCs w:val="72"/>
        </w:rPr>
        <w:t>Construction Dollars and Sense</w:t>
      </w:r>
    </w:p>
    <w:p w14:paraId="1B52FD7C" w14:textId="77777777" w:rsidR="007B6DC0" w:rsidRDefault="007B6DC0" w:rsidP="007B6DC0">
      <w:pPr>
        <w:outlineLvl w:val="0"/>
        <w:rPr>
          <w:b/>
          <w:sz w:val="28"/>
          <w:szCs w:val="28"/>
        </w:rPr>
      </w:pPr>
      <w:r>
        <w:rPr>
          <w:b/>
          <w:sz w:val="28"/>
          <w:szCs w:val="28"/>
        </w:rPr>
        <w:t>Tax and Financial Reporting</w:t>
      </w:r>
    </w:p>
    <w:p w14:paraId="59D33677" w14:textId="6485CC9C" w:rsidR="007B6DC0" w:rsidRDefault="007B6DC0" w:rsidP="007B6DC0">
      <w:pPr>
        <w:jc w:val="both"/>
        <w:outlineLvl w:val="0"/>
        <w:rPr>
          <w:b/>
          <w:sz w:val="28"/>
          <w:szCs w:val="28"/>
        </w:rPr>
      </w:pPr>
      <w:r>
        <w:rPr>
          <w:b/>
          <w:sz w:val="28"/>
          <w:szCs w:val="28"/>
        </w:rPr>
        <w:t xml:space="preserve">News and Tools                                                          </w:t>
      </w:r>
      <w:r w:rsidR="0063769C">
        <w:rPr>
          <w:b/>
          <w:sz w:val="28"/>
          <w:szCs w:val="28"/>
        </w:rPr>
        <w:t xml:space="preserve">            </w:t>
      </w:r>
      <w:r w:rsidR="00E848D4">
        <w:rPr>
          <w:b/>
          <w:sz w:val="28"/>
          <w:szCs w:val="28"/>
        </w:rPr>
        <w:t xml:space="preserve">    </w:t>
      </w:r>
      <w:r w:rsidR="0063769C">
        <w:rPr>
          <w:b/>
          <w:sz w:val="28"/>
          <w:szCs w:val="28"/>
        </w:rPr>
        <w:t xml:space="preserve">               </w:t>
      </w:r>
      <w:r w:rsidR="00E330BE">
        <w:rPr>
          <w:b/>
          <w:sz w:val="28"/>
          <w:szCs w:val="28"/>
        </w:rPr>
        <w:t xml:space="preserve">       July</w:t>
      </w:r>
      <w:r w:rsidR="00AF5D20">
        <w:rPr>
          <w:b/>
          <w:sz w:val="28"/>
          <w:szCs w:val="28"/>
        </w:rPr>
        <w:t xml:space="preserve"> 202</w:t>
      </w:r>
      <w:r w:rsidR="00E330BE">
        <w:rPr>
          <w:b/>
          <w:sz w:val="28"/>
          <w:szCs w:val="28"/>
        </w:rPr>
        <w:t>1</w:t>
      </w:r>
    </w:p>
    <w:p w14:paraId="16DD6AD2" w14:textId="77777777" w:rsidR="007B6DC0" w:rsidRPr="00987627" w:rsidRDefault="007B6DC0" w:rsidP="007B6DC0">
      <w:pPr>
        <w:pBdr>
          <w:bottom w:val="thickThinLargeGap" w:sz="24" w:space="1" w:color="auto"/>
        </w:pBdr>
        <w:rPr>
          <w:b/>
          <w:sz w:val="16"/>
          <w:szCs w:val="16"/>
        </w:rPr>
      </w:pPr>
    </w:p>
    <w:p w14:paraId="4757A9DE" w14:textId="77777777" w:rsidR="007B6DC0" w:rsidRPr="009B57FD" w:rsidRDefault="007B6DC0" w:rsidP="007B6DC0">
      <w:r w:rsidRPr="00486B89">
        <w:rPr>
          <w:sz w:val="28"/>
          <w:szCs w:val="28"/>
        </w:rPr>
        <w:t xml:space="preserve">  </w:t>
      </w:r>
    </w:p>
    <w:p w14:paraId="091C909B" w14:textId="77777777" w:rsidR="007B6DC0" w:rsidRDefault="000C4EF5" w:rsidP="007B6DC0">
      <w:pPr>
        <w:rPr>
          <w:sz w:val="28"/>
          <w:szCs w:val="28"/>
        </w:rPr>
      </w:pPr>
      <w:r>
        <w:rPr>
          <w:noProof/>
        </w:rPr>
        <mc:AlternateContent>
          <mc:Choice Requires="wps">
            <w:drawing>
              <wp:anchor distT="0" distB="0" distL="114300" distR="114300" simplePos="0" relativeHeight="251658240" behindDoc="0" locked="0" layoutInCell="1" allowOverlap="1" wp14:anchorId="778BC737" wp14:editId="48668B6E">
                <wp:simplePos x="0" y="0"/>
                <wp:positionH relativeFrom="column">
                  <wp:posOffset>2491740</wp:posOffset>
                </wp:positionH>
                <wp:positionV relativeFrom="paragraph">
                  <wp:posOffset>17145</wp:posOffset>
                </wp:positionV>
                <wp:extent cx="3799840" cy="1371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F717D" w14:textId="3DC79672" w:rsidR="007B6DC0" w:rsidRPr="00A52366" w:rsidRDefault="00E330BE" w:rsidP="007B6DC0">
                            <w:pPr>
                              <w:jc w:val="both"/>
                            </w:pPr>
                            <w:r>
                              <w:rPr>
                                <w:b/>
                                <w:sz w:val="44"/>
                                <w:szCs w:val="44"/>
                              </w:rPr>
                              <w:t xml:space="preserve">The IRS </w:t>
                            </w:r>
                            <w:r>
                              <w:rPr>
                                <w:b/>
                                <w:sz w:val="28"/>
                                <w:szCs w:val="28"/>
                              </w:rPr>
                              <w:t xml:space="preserve">has not recently focused on contractors </w:t>
                            </w:r>
                            <w:r>
                              <w:rPr>
                                <w:bCs/>
                              </w:rPr>
                              <w:t xml:space="preserve">but some </w:t>
                            </w:r>
                            <w:r w:rsidR="009776A7">
                              <w:rPr>
                                <w:bCs/>
                              </w:rPr>
                              <w:t xml:space="preserve">things point to </w:t>
                            </w:r>
                            <w:r>
                              <w:rPr>
                                <w:bCs/>
                              </w:rPr>
                              <w:t xml:space="preserve">a </w:t>
                            </w:r>
                            <w:r w:rsidR="009776A7">
                              <w:rPr>
                                <w:bCs/>
                              </w:rPr>
                              <w:t xml:space="preserve">coming </w:t>
                            </w:r>
                            <w:r>
                              <w:rPr>
                                <w:bCs/>
                              </w:rPr>
                              <w:t>change.  A decade ago, an IRS official, when asked why contractors were not being audited, replied, “There is no money there.”  The money is there</w:t>
                            </w:r>
                            <w:r w:rsidR="009776A7">
                              <w:rPr>
                                <w:bCs/>
                              </w:rPr>
                              <w:t xml:space="preserve"> now with construction booming</w:t>
                            </w:r>
                            <w:r w:rsidR="00A75F86">
                              <w:rPr>
                                <w:bCs/>
                              </w:rPr>
                              <w:t xml:space="preserve">, </w:t>
                            </w:r>
                            <w:r w:rsidR="009776A7">
                              <w:rPr>
                                <w:bCs/>
                              </w:rPr>
                              <w:t xml:space="preserve">and </w:t>
                            </w:r>
                            <w:r w:rsidR="00A75F86">
                              <w:rPr>
                                <w:bCs/>
                              </w:rPr>
                              <w:t>the IRS want</w:t>
                            </w:r>
                            <w:r w:rsidR="009776A7">
                              <w:rPr>
                                <w:bCs/>
                              </w:rPr>
                              <w:t>s</w:t>
                            </w:r>
                            <w:r w:rsidR="00A75F86">
                              <w:rPr>
                                <w:bCs/>
                              </w:rPr>
                              <w:t xml:space="preserve"> to be sure they get their share.</w:t>
                            </w:r>
                            <w:r>
                              <w:rPr>
                                <w:bCs/>
                              </w:rPr>
                              <w:t xml:space="preserve">.  </w:t>
                            </w:r>
                            <w:r w:rsidR="00680D5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BC737" id="_x0000_t202" coordsize="21600,21600" o:spt="202" path="m,l,21600r21600,l21600,xe">
                <v:stroke joinstyle="miter"/>
                <v:path gradientshapeok="t" o:connecttype="rect"/>
              </v:shapetype>
              <v:shape id="Text Box 3" o:spid="_x0000_s1026" type="#_x0000_t202" style="position:absolute;margin-left:196.2pt;margin-top:1.35pt;width:299.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" stroked="f">
                <v:textbox>
                  <w:txbxContent>
                    <w:p w14:paraId="724F717D" w14:textId="3DC79672" w:rsidR="007B6DC0" w:rsidRPr="00A52366" w:rsidRDefault="00E330BE" w:rsidP="007B6DC0">
                      <w:pPr>
                        <w:jc w:val="both"/>
                      </w:pPr>
                      <w:r>
                        <w:rPr>
                          <w:b/>
                          <w:sz w:val="44"/>
                          <w:szCs w:val="44"/>
                        </w:rPr>
                        <w:t xml:space="preserve">The IRS </w:t>
                      </w:r>
                      <w:r>
                        <w:rPr>
                          <w:b/>
                          <w:sz w:val="28"/>
                          <w:szCs w:val="28"/>
                        </w:rPr>
                        <w:t xml:space="preserve">has not recently focused on contractors </w:t>
                      </w:r>
                      <w:r>
                        <w:rPr>
                          <w:bCs/>
                        </w:rPr>
                        <w:t xml:space="preserve">but some </w:t>
                      </w:r>
                      <w:r w:rsidR="009776A7">
                        <w:rPr>
                          <w:bCs/>
                        </w:rPr>
                        <w:t xml:space="preserve">things point to </w:t>
                      </w:r>
                      <w:r>
                        <w:rPr>
                          <w:bCs/>
                        </w:rPr>
                        <w:t xml:space="preserve">a </w:t>
                      </w:r>
                      <w:r w:rsidR="009776A7">
                        <w:rPr>
                          <w:bCs/>
                        </w:rPr>
                        <w:t xml:space="preserve">coming </w:t>
                      </w:r>
                      <w:r>
                        <w:rPr>
                          <w:bCs/>
                        </w:rPr>
                        <w:t>change.  A decade ago, an IRS official, when asked why contractors were not being audited, replied, “There is no money there.”  The money is there</w:t>
                      </w:r>
                      <w:r w:rsidR="009776A7">
                        <w:rPr>
                          <w:bCs/>
                        </w:rPr>
                        <w:t xml:space="preserve"> now with construction booming</w:t>
                      </w:r>
                      <w:r w:rsidR="00A75F86">
                        <w:rPr>
                          <w:bCs/>
                        </w:rPr>
                        <w:t xml:space="preserve">, </w:t>
                      </w:r>
                      <w:r w:rsidR="009776A7">
                        <w:rPr>
                          <w:bCs/>
                        </w:rPr>
                        <w:t xml:space="preserve">and </w:t>
                      </w:r>
                      <w:r w:rsidR="00A75F86">
                        <w:rPr>
                          <w:bCs/>
                        </w:rPr>
                        <w:t>the IRS want</w:t>
                      </w:r>
                      <w:r w:rsidR="009776A7">
                        <w:rPr>
                          <w:bCs/>
                        </w:rPr>
                        <w:t>s</w:t>
                      </w:r>
                      <w:r w:rsidR="00A75F86">
                        <w:rPr>
                          <w:bCs/>
                        </w:rPr>
                        <w:t xml:space="preserve"> to be sure they get their share.</w:t>
                      </w:r>
                      <w:r>
                        <w:rPr>
                          <w:bCs/>
                        </w:rPr>
                        <w:t xml:space="preserve">.  </w:t>
                      </w:r>
                      <w:r w:rsidR="00680D51">
                        <w:t xml:space="preserve"> </w:t>
                      </w:r>
                    </w:p>
                  </w:txbxContent>
                </v:textbox>
              </v:shape>
            </w:pict>
          </mc:Fallback>
        </mc:AlternateContent>
      </w:r>
      <w:r w:rsidR="00874D33">
        <w:rPr>
          <w:noProof/>
        </w:rPr>
        <mc:AlternateContent>
          <mc:Choice Requires="wps">
            <w:drawing>
              <wp:anchor distT="0" distB="0" distL="114300" distR="114300" simplePos="0" relativeHeight="251657216" behindDoc="0" locked="0" layoutInCell="1" allowOverlap="1" wp14:anchorId="20FFDDF2" wp14:editId="12F23E5F">
                <wp:simplePos x="0" y="0"/>
                <wp:positionH relativeFrom="column">
                  <wp:posOffset>0</wp:posOffset>
                </wp:positionH>
                <wp:positionV relativeFrom="paragraph">
                  <wp:posOffset>17146</wp:posOffset>
                </wp:positionV>
                <wp:extent cx="2137410" cy="1173480"/>
                <wp:effectExtent l="76200" t="76200" r="1524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17348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6096283A" w14:textId="77777777" w:rsidR="007B6DC0" w:rsidRPr="003D3FE7" w:rsidRDefault="007B6DC0" w:rsidP="007B6DC0">
                            <w:pPr>
                              <w:rPr>
                                <w:b/>
                                <w:sz w:val="28"/>
                                <w:szCs w:val="28"/>
                              </w:rPr>
                            </w:pPr>
                            <w:r>
                              <w:rPr>
                                <w:b/>
                                <w:sz w:val="28"/>
                                <w:szCs w:val="28"/>
                              </w:rPr>
                              <w:t>Briefly:</w:t>
                            </w:r>
                            <w:r>
                              <w:t xml:space="preserve"> </w:t>
                            </w:r>
                          </w:p>
                          <w:p w14:paraId="7B922530" w14:textId="3B7A3EFF" w:rsidR="007B6DC0" w:rsidRPr="00486B89" w:rsidRDefault="007B6DC0" w:rsidP="007B6DC0">
                            <w:pPr>
                              <w:jc w:val="both"/>
                            </w:pPr>
                            <w:r>
                              <w:t>→</w:t>
                            </w:r>
                            <w:r w:rsidR="00E330BE">
                              <w:t>It appears that the IRS may be again starting to focus on audits of the construction industry.</w:t>
                            </w:r>
                            <w:r w:rsidR="00957892">
                              <w:t xml:space="preserve">  They have updated their audit guide for 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DDF2" id="Text Box 2" o:spid="_x0000_s1027" type="#_x0000_t202" style="position:absolute;margin-left:0;margin-top:1.35pt;width:168.3pt;height:9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">
                <v:shadow on="t" opacity=".5" offset="-6pt,-6pt"/>
                <v:textbox>
                  <w:txbxContent>
                    <w:p w14:paraId="6096283A" w14:textId="77777777" w:rsidR="007B6DC0" w:rsidRPr="003D3FE7" w:rsidRDefault="007B6DC0" w:rsidP="007B6DC0">
                      <w:pPr>
                        <w:rPr>
                          <w:b/>
                          <w:sz w:val="28"/>
                          <w:szCs w:val="28"/>
                        </w:rPr>
                      </w:pPr>
                      <w:r>
                        <w:rPr>
                          <w:b/>
                          <w:sz w:val="28"/>
                          <w:szCs w:val="28"/>
                        </w:rPr>
                        <w:t>Briefly:</w:t>
                      </w:r>
                      <w:r>
                        <w:t xml:space="preserve"> </w:t>
                      </w:r>
                    </w:p>
                    <w:p w14:paraId="7B922530" w14:textId="3B7A3EFF" w:rsidR="007B6DC0" w:rsidRPr="00486B89" w:rsidRDefault="007B6DC0" w:rsidP="007B6DC0">
                      <w:pPr>
                        <w:jc w:val="both"/>
                      </w:pPr>
                      <w:r>
                        <w:t>→</w:t>
                      </w:r>
                      <w:r w:rsidR="00E330BE">
                        <w:t>It appears that the IRS may be again starting to focus on audits of the construction industry.</w:t>
                      </w:r>
                      <w:r w:rsidR="00957892">
                        <w:t xml:space="preserve">  They have updated their audit guide for contractors.</w:t>
                      </w:r>
                    </w:p>
                  </w:txbxContent>
                </v:textbox>
              </v:shape>
            </w:pict>
          </mc:Fallback>
        </mc:AlternateContent>
      </w:r>
    </w:p>
    <w:p w14:paraId="27E42D74" w14:textId="77777777" w:rsidR="007B6DC0" w:rsidRDefault="007B6DC0" w:rsidP="007B6DC0">
      <w:pPr>
        <w:ind w:left="5040"/>
        <w:jc w:val="right"/>
      </w:pPr>
    </w:p>
    <w:p w14:paraId="77B075E2" w14:textId="77777777" w:rsidR="007B6DC0" w:rsidRDefault="007B6DC0" w:rsidP="007B6DC0"/>
    <w:p w14:paraId="47A74887" w14:textId="77777777" w:rsidR="007B6DC0" w:rsidRDefault="007B6DC0" w:rsidP="007B6DC0"/>
    <w:p w14:paraId="77962C65" w14:textId="77777777" w:rsidR="007B6DC0" w:rsidRDefault="007B6DC0" w:rsidP="007B6DC0"/>
    <w:p w14:paraId="57321839" w14:textId="77777777" w:rsidR="007B6DC0" w:rsidRDefault="007B6DC0" w:rsidP="007B6DC0"/>
    <w:p w14:paraId="37D83486" w14:textId="77777777" w:rsidR="007B6DC0" w:rsidRDefault="007B6DC0" w:rsidP="007B6DC0">
      <w:pPr>
        <w:ind w:right="-263"/>
      </w:pPr>
    </w:p>
    <w:p w14:paraId="7C63CF25" w14:textId="77777777" w:rsidR="007B6DC0" w:rsidRPr="007226BB" w:rsidRDefault="007B6DC0" w:rsidP="007B6DC0">
      <w:pPr>
        <w:jc w:val="both"/>
        <w:rPr>
          <w:sz w:val="12"/>
          <w:szCs w:val="12"/>
        </w:rPr>
      </w:pPr>
    </w:p>
    <w:p w14:paraId="50FBFC2E" w14:textId="0084C20D" w:rsidR="00462BA8" w:rsidRPr="00E330BE" w:rsidRDefault="00680D51" w:rsidP="00D86757">
      <w:pPr>
        <w:jc w:val="both"/>
        <w:rPr>
          <w:bCs/>
        </w:rPr>
      </w:pPr>
      <w:r>
        <w:rPr>
          <w:b/>
          <w:sz w:val="28"/>
          <w:szCs w:val="28"/>
        </w:rPr>
        <w:t>Th</w:t>
      </w:r>
      <w:r w:rsidR="00E330BE">
        <w:rPr>
          <w:b/>
          <w:sz w:val="28"/>
          <w:szCs w:val="28"/>
        </w:rPr>
        <w:t xml:space="preserve">e Treasury has announced </w:t>
      </w:r>
      <w:r w:rsidR="00E330BE">
        <w:t xml:space="preserve">that they want to hire more agents for more audits.  The conversations in Washington include more money to the IRS for more examining agents.  Perhaps the strongest indicator that things may be changing is the update in April of the IRS’ </w:t>
      </w:r>
      <w:r w:rsidR="00E330BE">
        <w:rPr>
          <w:i/>
          <w:iCs/>
        </w:rPr>
        <w:t>Construction Industry Audit Technique Guide</w:t>
      </w:r>
      <w:r w:rsidR="00E330BE">
        <w:t xml:space="preserve">, which was last updated more than a decade ago.  The 175 page document is the handbook for training agents </w:t>
      </w:r>
      <w:r w:rsidR="005019FE">
        <w:t xml:space="preserve">about </w:t>
      </w:r>
      <w:r w:rsidR="00E330BE">
        <w:t xml:space="preserve">the rules, laws, and things to look for when auditing a contractor.  </w:t>
      </w:r>
    </w:p>
    <w:p w14:paraId="6C67BACC" w14:textId="62762117" w:rsidR="000E6A86" w:rsidRPr="007306CF" w:rsidRDefault="000E6A86" w:rsidP="00D86757">
      <w:pPr>
        <w:jc w:val="both"/>
        <w:rPr>
          <w:bCs/>
          <w:sz w:val="12"/>
          <w:szCs w:val="12"/>
        </w:rPr>
      </w:pPr>
    </w:p>
    <w:p w14:paraId="30FD97BE" w14:textId="2D8C65D6" w:rsidR="00FF5914" w:rsidRPr="00024CCF" w:rsidRDefault="005019FE" w:rsidP="003F5646">
      <w:pPr>
        <w:jc w:val="both"/>
      </w:pPr>
      <w:r>
        <w:rPr>
          <w:b/>
          <w:bCs/>
          <w:sz w:val="28"/>
          <w:szCs w:val="28"/>
        </w:rPr>
        <w:t>The current ATG</w:t>
      </w:r>
      <w:r>
        <w:t xml:space="preserve"> is much more readable than the prior version and omitted about 100 pages of outdated example square foot costs of materials and labor.  Such example costs </w:t>
      </w:r>
      <w:r w:rsidR="009776A7">
        <w:t>were</w:t>
      </w:r>
      <w:r>
        <w:t xml:space="preserve"> misleading to an examining agent if the contractor had costs that varied from the </w:t>
      </w:r>
      <w:r w:rsidR="009776A7">
        <w:t xml:space="preserve">outdated </w:t>
      </w:r>
      <w:r>
        <w:t xml:space="preserve">published lists.  The agent </w:t>
      </w:r>
      <w:r w:rsidR="002F5509">
        <w:t>may</w:t>
      </w:r>
      <w:r>
        <w:t xml:space="preserve"> then expect, in error, the contractor to have doctored its records and overstated costs to reduce taxes. A remnant of those standard costs still exist in the current version which states that a 2,000 square foot home may require 13,127 board feet of framing lumber, 15 windows, 12 exterior doors, etc.  If the contractor being examined had </w:t>
      </w:r>
      <w:r w:rsidR="009776A7">
        <w:t xml:space="preserve">costs for </w:t>
      </w:r>
      <w:r>
        <w:t xml:space="preserve">20 windows in a house that size, it could cause the agent to wrongfully expect fraudulent diversion of materials and / or underreported income. </w:t>
      </w:r>
    </w:p>
    <w:p w14:paraId="57EC7AF9" w14:textId="77777777" w:rsidR="00ED149E" w:rsidRPr="00ED149E" w:rsidRDefault="00ED149E" w:rsidP="00D86757">
      <w:pPr>
        <w:jc w:val="both"/>
        <w:rPr>
          <w:bCs/>
          <w:sz w:val="12"/>
          <w:szCs w:val="12"/>
        </w:rPr>
      </w:pPr>
    </w:p>
    <w:p w14:paraId="266E31EE" w14:textId="77777777" w:rsidR="00A75F86" w:rsidRDefault="006B295B" w:rsidP="00D86757">
      <w:pPr>
        <w:jc w:val="both"/>
        <w:rPr>
          <w:bCs/>
        </w:rPr>
      </w:pPr>
      <w:r>
        <w:rPr>
          <w:b/>
          <w:sz w:val="28"/>
          <w:szCs w:val="28"/>
        </w:rPr>
        <w:t xml:space="preserve">The ATG is a great </w:t>
      </w:r>
      <w:r w:rsidR="00ED149E">
        <w:rPr>
          <w:bCs/>
        </w:rPr>
        <w:t xml:space="preserve"> </w:t>
      </w:r>
      <w:r>
        <w:rPr>
          <w:bCs/>
        </w:rPr>
        <w:t>primer f</w:t>
      </w:r>
      <w:r w:rsidR="0043469B">
        <w:rPr>
          <w:bCs/>
        </w:rPr>
        <w:t>or</w:t>
      </w:r>
      <w:r>
        <w:rPr>
          <w:bCs/>
        </w:rPr>
        <w:t xml:space="preserve"> the inexperienced IRS agent or the construction financial manager. It describes different types of contracts, bonding, financial reporting, and some of the complexities of the tax law, regulations, and contractor cases.  But it is very misleading in many instances. For example, it states that when a contractor send</w:t>
      </w:r>
      <w:r w:rsidR="00662641">
        <w:rPr>
          <w:bCs/>
        </w:rPr>
        <w:t>s</w:t>
      </w:r>
      <w:r>
        <w:rPr>
          <w:bCs/>
        </w:rPr>
        <w:t xml:space="preserve"> an invoice  to a customer the credit goes to an account named ‘Costs and Estimated Earnings in Excess of Billings” which is the procedure for </w:t>
      </w:r>
      <w:r w:rsidR="00662641">
        <w:rPr>
          <w:bCs/>
        </w:rPr>
        <w:t xml:space="preserve">absolutely </w:t>
      </w:r>
      <w:r>
        <w:rPr>
          <w:bCs/>
        </w:rPr>
        <w:t>no contractor.  Of course</w:t>
      </w:r>
      <w:r w:rsidR="00662641">
        <w:rPr>
          <w:bCs/>
        </w:rPr>
        <w:t>,</w:t>
      </w:r>
      <w:r>
        <w:rPr>
          <w:bCs/>
        </w:rPr>
        <w:t xml:space="preserve"> the credit goes to Revenue and the over or under billings are adjusted later for financial reporting.</w:t>
      </w:r>
      <w:r w:rsidR="00662641">
        <w:rPr>
          <w:bCs/>
        </w:rPr>
        <w:t xml:space="preserve">  The ATG also stated that the overbilling and the underbilling accounts “…should be present on the balance sheet.”  Maybe not, if the contractor does not have over or underbillings at the end of the year. Such misguided instruction, which is numerous in the ATG, can cause unnecessary conflict in the IRS examination.  </w:t>
      </w:r>
    </w:p>
    <w:p w14:paraId="43277DFC" w14:textId="77777777" w:rsidR="00A75F86" w:rsidRPr="009776A7" w:rsidRDefault="00A75F86" w:rsidP="00D86757">
      <w:pPr>
        <w:jc w:val="both"/>
        <w:rPr>
          <w:bCs/>
          <w:sz w:val="12"/>
          <w:szCs w:val="12"/>
        </w:rPr>
      </w:pPr>
    </w:p>
    <w:p w14:paraId="68E0484B" w14:textId="2EC567B8" w:rsidR="000E6A86" w:rsidRDefault="00662641" w:rsidP="00D86757">
      <w:pPr>
        <w:jc w:val="both"/>
        <w:rPr>
          <w:bCs/>
        </w:rPr>
      </w:pPr>
      <w:r>
        <w:rPr>
          <w:bCs/>
        </w:rPr>
        <w:t xml:space="preserve"> The ATG even gives an incorrect cite of the Internal Revenue Code on page 46 as 460((e)(1)(B) which should in fact be 460(e)(1)(A)</w:t>
      </w:r>
      <w:r w:rsidR="00A75F86">
        <w:rPr>
          <w:bCs/>
        </w:rPr>
        <w:t>.  This will likely not be noticed by too many agents or contractor financial managers, but there are many instances of this type of error in the Guide.</w:t>
      </w:r>
    </w:p>
    <w:p w14:paraId="4D11E146" w14:textId="51E4E5BC" w:rsidR="001D1234" w:rsidRDefault="001D1234" w:rsidP="00D86757">
      <w:pPr>
        <w:jc w:val="both"/>
        <w:rPr>
          <w:bCs/>
          <w:sz w:val="12"/>
          <w:szCs w:val="12"/>
        </w:rPr>
      </w:pPr>
    </w:p>
    <w:p w14:paraId="554E3E7A" w14:textId="3F19AF21" w:rsidR="001D1234" w:rsidRPr="00A27450" w:rsidRDefault="00A75F86" w:rsidP="00D86757">
      <w:pPr>
        <w:jc w:val="both"/>
        <w:rPr>
          <w:bCs/>
        </w:rPr>
      </w:pPr>
      <w:r>
        <w:rPr>
          <w:b/>
          <w:sz w:val="28"/>
          <w:szCs w:val="28"/>
        </w:rPr>
        <w:t>T</w:t>
      </w:r>
      <w:r w:rsidR="00A27450">
        <w:rPr>
          <w:b/>
          <w:sz w:val="28"/>
          <w:szCs w:val="28"/>
        </w:rPr>
        <w:t>h</w:t>
      </w:r>
      <w:r>
        <w:rPr>
          <w:b/>
          <w:sz w:val="28"/>
          <w:szCs w:val="28"/>
        </w:rPr>
        <w:t xml:space="preserve">e newly updated ATG </w:t>
      </w:r>
      <w:r w:rsidR="00A27450">
        <w:rPr>
          <w:bCs/>
        </w:rPr>
        <w:t xml:space="preserve"> </w:t>
      </w:r>
      <w:r>
        <w:rPr>
          <w:bCs/>
        </w:rPr>
        <w:t>should be required reading for the construction financial manager not only to be aware of what the IRS may be looking for in an exam, but also to serve as a refresher of  the rules and regulations,</w:t>
      </w:r>
      <w:r w:rsidR="00354180">
        <w:rPr>
          <w:bCs/>
        </w:rPr>
        <w:t xml:space="preserve"> </w:t>
      </w:r>
      <w:r>
        <w:rPr>
          <w:bCs/>
        </w:rPr>
        <w:t xml:space="preserve">many of which may provide tax saving opportunities to the contractor. </w:t>
      </w:r>
      <w:r w:rsidR="00A27450">
        <w:rPr>
          <w:bCs/>
        </w:rPr>
        <w:t xml:space="preserve">  </w:t>
      </w:r>
    </w:p>
    <w:p w14:paraId="43555F19" w14:textId="1081A831" w:rsidR="00462BA8" w:rsidRPr="007306CF" w:rsidRDefault="00462BA8" w:rsidP="00F13E90">
      <w:pPr>
        <w:tabs>
          <w:tab w:val="left" w:pos="1360"/>
        </w:tabs>
        <w:rPr>
          <w:bCs/>
          <w:sz w:val="12"/>
          <w:szCs w:val="12"/>
        </w:rPr>
      </w:pPr>
    </w:p>
    <w:p w14:paraId="39A65372" w14:textId="16C72056" w:rsidR="007B6DC0" w:rsidRDefault="007B6DC0" w:rsidP="008364F8">
      <w:pPr>
        <w:pStyle w:val="Footer"/>
        <w:jc w:val="center"/>
        <w:rPr>
          <w:sz w:val="22"/>
          <w:szCs w:val="22"/>
        </w:rPr>
      </w:pPr>
      <w:r>
        <w:rPr>
          <w:sz w:val="22"/>
          <w:szCs w:val="22"/>
        </w:rPr>
        <w:t>Questions or comments? Contact Al Clark at 404-252-2208 or AClark</w:t>
      </w:r>
      <w:r w:rsidRPr="006E3C32">
        <w:rPr>
          <w:sz w:val="20"/>
          <w:szCs w:val="20"/>
        </w:rPr>
        <w:t>@</w:t>
      </w:r>
      <w:r>
        <w:rPr>
          <w:sz w:val="22"/>
          <w:szCs w:val="22"/>
        </w:rPr>
        <w:t>SmithAdcock.com.</w:t>
      </w:r>
    </w:p>
    <w:p w14:paraId="3CDC1787" w14:textId="77777777" w:rsidR="007B6DC0" w:rsidRDefault="007B6DC0" w:rsidP="008364F8">
      <w:pPr>
        <w:pStyle w:val="Footer"/>
        <w:jc w:val="center"/>
        <w:rPr>
          <w:sz w:val="18"/>
          <w:szCs w:val="18"/>
        </w:rPr>
      </w:pPr>
      <w:r>
        <w:rPr>
          <w:sz w:val="18"/>
          <w:szCs w:val="18"/>
        </w:rPr>
        <w:t>The information herein is general in nature and should not be construed as advice or opinion of Smith, Adcock and Company</w:t>
      </w:r>
      <w:r w:rsidR="00DA7473">
        <w:rPr>
          <w:sz w:val="18"/>
          <w:szCs w:val="18"/>
        </w:rPr>
        <w:t xml:space="preserve"> LLP</w:t>
      </w:r>
      <w:r>
        <w:rPr>
          <w:sz w:val="18"/>
          <w:szCs w:val="18"/>
        </w:rPr>
        <w:t>.</w:t>
      </w:r>
    </w:p>
    <w:p w14:paraId="627F6B16" w14:textId="77777777" w:rsidR="007B6DC0" w:rsidRPr="006C6BFF" w:rsidRDefault="007B6DC0" w:rsidP="008364F8">
      <w:pPr>
        <w:pStyle w:val="Footer"/>
        <w:jc w:val="center"/>
        <w:rPr>
          <w:sz w:val="18"/>
          <w:szCs w:val="18"/>
        </w:rPr>
      </w:pPr>
      <w:r>
        <w:rPr>
          <w:sz w:val="18"/>
          <w:szCs w:val="18"/>
        </w:rPr>
        <w:t>It should not be used as a substitute for competent advice which sho</w:t>
      </w:r>
      <w:r w:rsidR="00966561">
        <w:rPr>
          <w:sz w:val="18"/>
          <w:szCs w:val="18"/>
        </w:rPr>
        <w:t>uld be obtained from your Smith</w:t>
      </w:r>
      <w:r>
        <w:rPr>
          <w:sz w:val="18"/>
          <w:szCs w:val="18"/>
        </w:rPr>
        <w:t xml:space="preserve"> Adcock professional.</w:t>
      </w:r>
    </w:p>
    <w:p w14:paraId="4D3C0B0D" w14:textId="77777777" w:rsidR="007B6DC0" w:rsidRPr="004F5AE9" w:rsidRDefault="007B6DC0" w:rsidP="007B6DC0">
      <w:pPr>
        <w:pStyle w:val="Footer"/>
        <w:jc w:val="center"/>
        <w:rPr>
          <w:sz w:val="16"/>
          <w:szCs w:val="16"/>
        </w:rPr>
      </w:pPr>
      <w:r w:rsidRPr="004F5AE9">
        <w:rPr>
          <w:sz w:val="16"/>
          <w:szCs w:val="16"/>
        </w:rPr>
        <w:t>________________________________________________________________________________</w:t>
      </w:r>
    </w:p>
    <w:p w14:paraId="1380C652" w14:textId="5A8429C1" w:rsidR="00EC4473" w:rsidRPr="008364F8" w:rsidRDefault="007B6DC0" w:rsidP="00380203">
      <w:pPr>
        <w:pStyle w:val="Footer"/>
        <w:jc w:val="center"/>
        <w:rPr>
          <w:sz w:val="20"/>
          <w:szCs w:val="20"/>
        </w:rPr>
      </w:pPr>
      <w:r w:rsidRPr="008364F8">
        <w:rPr>
          <w:sz w:val="20"/>
          <w:szCs w:val="20"/>
        </w:rPr>
        <w:t>Copyright © 20</w:t>
      </w:r>
      <w:r w:rsidR="00003FDC">
        <w:rPr>
          <w:sz w:val="20"/>
          <w:szCs w:val="20"/>
        </w:rPr>
        <w:t>2</w:t>
      </w:r>
      <w:r w:rsidR="005019FE">
        <w:rPr>
          <w:sz w:val="20"/>
          <w:szCs w:val="20"/>
        </w:rPr>
        <w:t>1</w:t>
      </w:r>
      <w:r w:rsidRPr="008364F8">
        <w:rPr>
          <w:sz w:val="20"/>
          <w:szCs w:val="20"/>
        </w:rPr>
        <w:t xml:space="preserve"> Smith, Adcock and Company</w:t>
      </w:r>
      <w:r w:rsidR="008364F8" w:rsidRPr="008364F8">
        <w:rPr>
          <w:sz w:val="20"/>
          <w:szCs w:val="20"/>
        </w:rPr>
        <w:t xml:space="preserve"> LLP</w:t>
      </w:r>
      <w:r w:rsidRPr="008364F8">
        <w:rPr>
          <w:sz w:val="20"/>
          <w:szCs w:val="20"/>
        </w:rPr>
        <w:t>.</w:t>
      </w:r>
      <w:r w:rsidR="009D1993">
        <w:rPr>
          <w:sz w:val="20"/>
          <w:szCs w:val="20"/>
        </w:rPr>
        <w:t xml:space="preserve">  </w:t>
      </w:r>
      <w:r w:rsidRPr="008364F8">
        <w:rPr>
          <w:sz w:val="20"/>
          <w:szCs w:val="20"/>
        </w:rPr>
        <w:t xml:space="preserve">All Rights Reserved. </w:t>
      </w:r>
      <w:r w:rsidR="00003FDC">
        <w:rPr>
          <w:sz w:val="20"/>
          <w:szCs w:val="20"/>
        </w:rPr>
        <w:t>6120 Powers Ferry Rd.</w:t>
      </w:r>
      <w:r w:rsidRPr="008364F8">
        <w:rPr>
          <w:sz w:val="20"/>
          <w:szCs w:val="20"/>
        </w:rPr>
        <w:t>, Atlanta, GA</w:t>
      </w:r>
    </w:p>
    <w:sectPr w:rsidR="00EC4473" w:rsidRPr="008364F8" w:rsidSect="00251C30">
      <w:pgSz w:w="12240" w:h="15840" w:code="1"/>
      <w:pgMar w:top="432" w:right="1152" w:bottom="144" w:left="1296" w:header="72" w:footer="58"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C0"/>
    <w:rsid w:val="000015F2"/>
    <w:rsid w:val="000033E1"/>
    <w:rsid w:val="00003FDC"/>
    <w:rsid w:val="000118EE"/>
    <w:rsid w:val="0001477D"/>
    <w:rsid w:val="00017029"/>
    <w:rsid w:val="000244A7"/>
    <w:rsid w:val="000329D7"/>
    <w:rsid w:val="000346B5"/>
    <w:rsid w:val="00041A73"/>
    <w:rsid w:val="000453CB"/>
    <w:rsid w:val="000567B0"/>
    <w:rsid w:val="00057C86"/>
    <w:rsid w:val="0006346F"/>
    <w:rsid w:val="00067719"/>
    <w:rsid w:val="00071ADC"/>
    <w:rsid w:val="000729FC"/>
    <w:rsid w:val="00082D4C"/>
    <w:rsid w:val="000935E8"/>
    <w:rsid w:val="000A0474"/>
    <w:rsid w:val="000A5DFF"/>
    <w:rsid w:val="000B450C"/>
    <w:rsid w:val="000C4EF5"/>
    <w:rsid w:val="000C7E7F"/>
    <w:rsid w:val="000D2E6E"/>
    <w:rsid w:val="000D7FA5"/>
    <w:rsid w:val="000E4733"/>
    <w:rsid w:val="000E6A86"/>
    <w:rsid w:val="000F0F74"/>
    <w:rsid w:val="000F4624"/>
    <w:rsid w:val="000F5B79"/>
    <w:rsid w:val="000F6712"/>
    <w:rsid w:val="000F6A69"/>
    <w:rsid w:val="000F7774"/>
    <w:rsid w:val="000F7865"/>
    <w:rsid w:val="001076D4"/>
    <w:rsid w:val="00113F2B"/>
    <w:rsid w:val="00115727"/>
    <w:rsid w:val="00116F35"/>
    <w:rsid w:val="001170D5"/>
    <w:rsid w:val="00117933"/>
    <w:rsid w:val="0012270C"/>
    <w:rsid w:val="001244C6"/>
    <w:rsid w:val="00124DD7"/>
    <w:rsid w:val="001257F5"/>
    <w:rsid w:val="0013657A"/>
    <w:rsid w:val="00142807"/>
    <w:rsid w:val="00153772"/>
    <w:rsid w:val="00153D25"/>
    <w:rsid w:val="00164F47"/>
    <w:rsid w:val="00173A7C"/>
    <w:rsid w:val="00176C99"/>
    <w:rsid w:val="001800F7"/>
    <w:rsid w:val="00193A29"/>
    <w:rsid w:val="00193DDA"/>
    <w:rsid w:val="00195A00"/>
    <w:rsid w:val="0019628D"/>
    <w:rsid w:val="00197B7A"/>
    <w:rsid w:val="001A0DF3"/>
    <w:rsid w:val="001A4BE7"/>
    <w:rsid w:val="001A5162"/>
    <w:rsid w:val="001A7321"/>
    <w:rsid w:val="001B46DC"/>
    <w:rsid w:val="001C267D"/>
    <w:rsid w:val="001C3B2C"/>
    <w:rsid w:val="001C4B01"/>
    <w:rsid w:val="001C4F4B"/>
    <w:rsid w:val="001D1234"/>
    <w:rsid w:val="001D596E"/>
    <w:rsid w:val="001E36AB"/>
    <w:rsid w:val="001E3725"/>
    <w:rsid w:val="001F2ADF"/>
    <w:rsid w:val="001F46EB"/>
    <w:rsid w:val="002045ED"/>
    <w:rsid w:val="002056F5"/>
    <w:rsid w:val="00213E1A"/>
    <w:rsid w:val="00214483"/>
    <w:rsid w:val="002217C4"/>
    <w:rsid w:val="002219F0"/>
    <w:rsid w:val="002239C2"/>
    <w:rsid w:val="00225625"/>
    <w:rsid w:val="00226ED8"/>
    <w:rsid w:val="00234102"/>
    <w:rsid w:val="00244424"/>
    <w:rsid w:val="00246F2B"/>
    <w:rsid w:val="0025613C"/>
    <w:rsid w:val="00266C1A"/>
    <w:rsid w:val="002713CE"/>
    <w:rsid w:val="00273175"/>
    <w:rsid w:val="002751B7"/>
    <w:rsid w:val="00276F4F"/>
    <w:rsid w:val="00281F1C"/>
    <w:rsid w:val="002862EC"/>
    <w:rsid w:val="00291C69"/>
    <w:rsid w:val="00293CF5"/>
    <w:rsid w:val="002944E5"/>
    <w:rsid w:val="002B0E5F"/>
    <w:rsid w:val="002B17F3"/>
    <w:rsid w:val="002B2F78"/>
    <w:rsid w:val="002B7766"/>
    <w:rsid w:val="002C3C9F"/>
    <w:rsid w:val="002C71BB"/>
    <w:rsid w:val="002D1AC0"/>
    <w:rsid w:val="002D3CB3"/>
    <w:rsid w:val="002D52EB"/>
    <w:rsid w:val="002D66A0"/>
    <w:rsid w:val="002E32EB"/>
    <w:rsid w:val="002E4E5F"/>
    <w:rsid w:val="002E5C4B"/>
    <w:rsid w:val="002F10CC"/>
    <w:rsid w:val="002F5509"/>
    <w:rsid w:val="003047EC"/>
    <w:rsid w:val="00305CAA"/>
    <w:rsid w:val="003060B8"/>
    <w:rsid w:val="00311EA8"/>
    <w:rsid w:val="0031223F"/>
    <w:rsid w:val="00317DB5"/>
    <w:rsid w:val="00320D2C"/>
    <w:rsid w:val="00322BED"/>
    <w:rsid w:val="00324C04"/>
    <w:rsid w:val="00330DF7"/>
    <w:rsid w:val="00331C3D"/>
    <w:rsid w:val="00334E8A"/>
    <w:rsid w:val="00335F26"/>
    <w:rsid w:val="003378B2"/>
    <w:rsid w:val="0035139B"/>
    <w:rsid w:val="00354180"/>
    <w:rsid w:val="00363082"/>
    <w:rsid w:val="00366D7C"/>
    <w:rsid w:val="003707E8"/>
    <w:rsid w:val="00380203"/>
    <w:rsid w:val="00380B43"/>
    <w:rsid w:val="00382285"/>
    <w:rsid w:val="00382A22"/>
    <w:rsid w:val="003A3FA1"/>
    <w:rsid w:val="003A6BF7"/>
    <w:rsid w:val="003B400D"/>
    <w:rsid w:val="003B7AA2"/>
    <w:rsid w:val="003C0C7B"/>
    <w:rsid w:val="003C5231"/>
    <w:rsid w:val="003D049C"/>
    <w:rsid w:val="003D3D76"/>
    <w:rsid w:val="003E31FD"/>
    <w:rsid w:val="003F02DF"/>
    <w:rsid w:val="003F2D51"/>
    <w:rsid w:val="003F3FC2"/>
    <w:rsid w:val="003F4528"/>
    <w:rsid w:val="003F4A07"/>
    <w:rsid w:val="003F5646"/>
    <w:rsid w:val="003F5C6D"/>
    <w:rsid w:val="00411C48"/>
    <w:rsid w:val="004207E4"/>
    <w:rsid w:val="0042384F"/>
    <w:rsid w:val="0042758B"/>
    <w:rsid w:val="0043469B"/>
    <w:rsid w:val="00436B56"/>
    <w:rsid w:val="00444EC3"/>
    <w:rsid w:val="00450E04"/>
    <w:rsid w:val="00452C86"/>
    <w:rsid w:val="0045641B"/>
    <w:rsid w:val="004566CB"/>
    <w:rsid w:val="00457704"/>
    <w:rsid w:val="0046188F"/>
    <w:rsid w:val="00462BA8"/>
    <w:rsid w:val="00465501"/>
    <w:rsid w:val="00466DEF"/>
    <w:rsid w:val="00470430"/>
    <w:rsid w:val="00471C54"/>
    <w:rsid w:val="0047473F"/>
    <w:rsid w:val="0047616F"/>
    <w:rsid w:val="00480D2B"/>
    <w:rsid w:val="004820C4"/>
    <w:rsid w:val="00496F4B"/>
    <w:rsid w:val="004A4B20"/>
    <w:rsid w:val="004B0B12"/>
    <w:rsid w:val="004B510D"/>
    <w:rsid w:val="004B559E"/>
    <w:rsid w:val="004B76F2"/>
    <w:rsid w:val="004C7A36"/>
    <w:rsid w:val="004D0F04"/>
    <w:rsid w:val="004D5B6A"/>
    <w:rsid w:val="004D6FF7"/>
    <w:rsid w:val="004F2825"/>
    <w:rsid w:val="004F5AE9"/>
    <w:rsid w:val="004F5C24"/>
    <w:rsid w:val="004F7716"/>
    <w:rsid w:val="005019FE"/>
    <w:rsid w:val="005067D7"/>
    <w:rsid w:val="005120A4"/>
    <w:rsid w:val="0052245C"/>
    <w:rsid w:val="0052696D"/>
    <w:rsid w:val="00527641"/>
    <w:rsid w:val="00531F2F"/>
    <w:rsid w:val="005345C2"/>
    <w:rsid w:val="00534DF6"/>
    <w:rsid w:val="00537A07"/>
    <w:rsid w:val="005435F9"/>
    <w:rsid w:val="005518D5"/>
    <w:rsid w:val="00552004"/>
    <w:rsid w:val="00554DB4"/>
    <w:rsid w:val="005562D8"/>
    <w:rsid w:val="00557E57"/>
    <w:rsid w:val="00560044"/>
    <w:rsid w:val="00567254"/>
    <w:rsid w:val="00572B60"/>
    <w:rsid w:val="00572DAF"/>
    <w:rsid w:val="0057368E"/>
    <w:rsid w:val="00573742"/>
    <w:rsid w:val="00573E80"/>
    <w:rsid w:val="00580614"/>
    <w:rsid w:val="0058394A"/>
    <w:rsid w:val="005903C6"/>
    <w:rsid w:val="00590B3A"/>
    <w:rsid w:val="00593790"/>
    <w:rsid w:val="00595862"/>
    <w:rsid w:val="005A1F9F"/>
    <w:rsid w:val="005A5C07"/>
    <w:rsid w:val="005B099F"/>
    <w:rsid w:val="005B1147"/>
    <w:rsid w:val="005B5EBB"/>
    <w:rsid w:val="005C4806"/>
    <w:rsid w:val="005C54A1"/>
    <w:rsid w:val="005D17B3"/>
    <w:rsid w:val="005D3B9B"/>
    <w:rsid w:val="005D4900"/>
    <w:rsid w:val="005D7C75"/>
    <w:rsid w:val="005E0288"/>
    <w:rsid w:val="005E044D"/>
    <w:rsid w:val="005E05AF"/>
    <w:rsid w:val="005E11AA"/>
    <w:rsid w:val="005E337E"/>
    <w:rsid w:val="005E5A4C"/>
    <w:rsid w:val="005E6A99"/>
    <w:rsid w:val="005F406C"/>
    <w:rsid w:val="00600007"/>
    <w:rsid w:val="00601169"/>
    <w:rsid w:val="00601B10"/>
    <w:rsid w:val="0060363E"/>
    <w:rsid w:val="00606DF4"/>
    <w:rsid w:val="00610472"/>
    <w:rsid w:val="006157EE"/>
    <w:rsid w:val="00620054"/>
    <w:rsid w:val="0062430B"/>
    <w:rsid w:val="00624554"/>
    <w:rsid w:val="00626D7F"/>
    <w:rsid w:val="0063229B"/>
    <w:rsid w:val="0063769C"/>
    <w:rsid w:val="00644F8F"/>
    <w:rsid w:val="00650E47"/>
    <w:rsid w:val="00651065"/>
    <w:rsid w:val="00653153"/>
    <w:rsid w:val="00662641"/>
    <w:rsid w:val="00666E69"/>
    <w:rsid w:val="00667AB5"/>
    <w:rsid w:val="00680D51"/>
    <w:rsid w:val="006832E6"/>
    <w:rsid w:val="00686F54"/>
    <w:rsid w:val="0069213B"/>
    <w:rsid w:val="00692753"/>
    <w:rsid w:val="00694FDD"/>
    <w:rsid w:val="006A074F"/>
    <w:rsid w:val="006A1830"/>
    <w:rsid w:val="006A50A9"/>
    <w:rsid w:val="006A65D3"/>
    <w:rsid w:val="006B2577"/>
    <w:rsid w:val="006B295B"/>
    <w:rsid w:val="006B3FC2"/>
    <w:rsid w:val="006B4083"/>
    <w:rsid w:val="006C3B71"/>
    <w:rsid w:val="006D0FCB"/>
    <w:rsid w:val="006D2207"/>
    <w:rsid w:val="006D485E"/>
    <w:rsid w:val="006D6EBE"/>
    <w:rsid w:val="006F50F8"/>
    <w:rsid w:val="006F5624"/>
    <w:rsid w:val="00700716"/>
    <w:rsid w:val="007017FE"/>
    <w:rsid w:val="0071515D"/>
    <w:rsid w:val="00716EFB"/>
    <w:rsid w:val="00720DF4"/>
    <w:rsid w:val="007226BB"/>
    <w:rsid w:val="00725EBE"/>
    <w:rsid w:val="0072729A"/>
    <w:rsid w:val="007306CF"/>
    <w:rsid w:val="00741EDE"/>
    <w:rsid w:val="00741EEB"/>
    <w:rsid w:val="007471CA"/>
    <w:rsid w:val="007530CB"/>
    <w:rsid w:val="007576B0"/>
    <w:rsid w:val="00757B75"/>
    <w:rsid w:val="00765961"/>
    <w:rsid w:val="0077190F"/>
    <w:rsid w:val="007732C2"/>
    <w:rsid w:val="00777DA9"/>
    <w:rsid w:val="00781442"/>
    <w:rsid w:val="00784E06"/>
    <w:rsid w:val="00794880"/>
    <w:rsid w:val="00796E7F"/>
    <w:rsid w:val="007A35DC"/>
    <w:rsid w:val="007A36A9"/>
    <w:rsid w:val="007A7054"/>
    <w:rsid w:val="007A743D"/>
    <w:rsid w:val="007A7703"/>
    <w:rsid w:val="007B0094"/>
    <w:rsid w:val="007B6DC0"/>
    <w:rsid w:val="007C01F7"/>
    <w:rsid w:val="007D54B5"/>
    <w:rsid w:val="007F0BA3"/>
    <w:rsid w:val="007F5F05"/>
    <w:rsid w:val="0080135D"/>
    <w:rsid w:val="00803092"/>
    <w:rsid w:val="00805003"/>
    <w:rsid w:val="00814ECF"/>
    <w:rsid w:val="008364F8"/>
    <w:rsid w:val="00840D7D"/>
    <w:rsid w:val="008413E8"/>
    <w:rsid w:val="00844459"/>
    <w:rsid w:val="00844EF7"/>
    <w:rsid w:val="00845D86"/>
    <w:rsid w:val="00852DE7"/>
    <w:rsid w:val="00853975"/>
    <w:rsid w:val="008672EC"/>
    <w:rsid w:val="00870624"/>
    <w:rsid w:val="0087352F"/>
    <w:rsid w:val="00874D33"/>
    <w:rsid w:val="008762AB"/>
    <w:rsid w:val="00883D2A"/>
    <w:rsid w:val="00887BFB"/>
    <w:rsid w:val="00887F98"/>
    <w:rsid w:val="0089716A"/>
    <w:rsid w:val="00897505"/>
    <w:rsid w:val="008A403B"/>
    <w:rsid w:val="008A76C9"/>
    <w:rsid w:val="008C5217"/>
    <w:rsid w:val="008C5F79"/>
    <w:rsid w:val="008D0AF6"/>
    <w:rsid w:val="008D3368"/>
    <w:rsid w:val="008E0644"/>
    <w:rsid w:val="008F3013"/>
    <w:rsid w:val="009041EE"/>
    <w:rsid w:val="00906D45"/>
    <w:rsid w:val="00907C14"/>
    <w:rsid w:val="00907FFB"/>
    <w:rsid w:val="0091055B"/>
    <w:rsid w:val="0091209A"/>
    <w:rsid w:val="00915980"/>
    <w:rsid w:val="009175B1"/>
    <w:rsid w:val="009209B7"/>
    <w:rsid w:val="00922E9F"/>
    <w:rsid w:val="0092682D"/>
    <w:rsid w:val="0093138C"/>
    <w:rsid w:val="009352D3"/>
    <w:rsid w:val="00945356"/>
    <w:rsid w:val="009504C3"/>
    <w:rsid w:val="009510A1"/>
    <w:rsid w:val="0095759E"/>
    <w:rsid w:val="00957892"/>
    <w:rsid w:val="00962B01"/>
    <w:rsid w:val="00964389"/>
    <w:rsid w:val="00966561"/>
    <w:rsid w:val="00972550"/>
    <w:rsid w:val="009776A7"/>
    <w:rsid w:val="00977FD3"/>
    <w:rsid w:val="009828F0"/>
    <w:rsid w:val="00983BD7"/>
    <w:rsid w:val="00985379"/>
    <w:rsid w:val="00991E97"/>
    <w:rsid w:val="009924D6"/>
    <w:rsid w:val="009965EE"/>
    <w:rsid w:val="009A1F5F"/>
    <w:rsid w:val="009A4BD0"/>
    <w:rsid w:val="009A4D62"/>
    <w:rsid w:val="009B4FD9"/>
    <w:rsid w:val="009C01B8"/>
    <w:rsid w:val="009C38FF"/>
    <w:rsid w:val="009C5DCF"/>
    <w:rsid w:val="009C7214"/>
    <w:rsid w:val="009D1993"/>
    <w:rsid w:val="009D2587"/>
    <w:rsid w:val="009E75FE"/>
    <w:rsid w:val="009F01B1"/>
    <w:rsid w:val="009F4CFD"/>
    <w:rsid w:val="00A05090"/>
    <w:rsid w:val="00A21421"/>
    <w:rsid w:val="00A2176C"/>
    <w:rsid w:val="00A24DC6"/>
    <w:rsid w:val="00A27450"/>
    <w:rsid w:val="00A43790"/>
    <w:rsid w:val="00A437A1"/>
    <w:rsid w:val="00A50993"/>
    <w:rsid w:val="00A51F7F"/>
    <w:rsid w:val="00A52366"/>
    <w:rsid w:val="00A60176"/>
    <w:rsid w:val="00A619BE"/>
    <w:rsid w:val="00A66252"/>
    <w:rsid w:val="00A66533"/>
    <w:rsid w:val="00A73180"/>
    <w:rsid w:val="00A75F86"/>
    <w:rsid w:val="00A93AB8"/>
    <w:rsid w:val="00AA24B6"/>
    <w:rsid w:val="00AC13B9"/>
    <w:rsid w:val="00AC586C"/>
    <w:rsid w:val="00AC5D04"/>
    <w:rsid w:val="00AD0530"/>
    <w:rsid w:val="00AD7E66"/>
    <w:rsid w:val="00AE1006"/>
    <w:rsid w:val="00AE3AE3"/>
    <w:rsid w:val="00AE3C98"/>
    <w:rsid w:val="00AF0384"/>
    <w:rsid w:val="00AF1B52"/>
    <w:rsid w:val="00AF5D20"/>
    <w:rsid w:val="00AF6F2B"/>
    <w:rsid w:val="00B06B6E"/>
    <w:rsid w:val="00B22EB9"/>
    <w:rsid w:val="00B251E1"/>
    <w:rsid w:val="00B30668"/>
    <w:rsid w:val="00B313E2"/>
    <w:rsid w:val="00B4109A"/>
    <w:rsid w:val="00B43E0A"/>
    <w:rsid w:val="00B44902"/>
    <w:rsid w:val="00B521DC"/>
    <w:rsid w:val="00B572C3"/>
    <w:rsid w:val="00B60538"/>
    <w:rsid w:val="00B60C26"/>
    <w:rsid w:val="00B801CA"/>
    <w:rsid w:val="00B82E71"/>
    <w:rsid w:val="00B84CCF"/>
    <w:rsid w:val="00B85B5C"/>
    <w:rsid w:val="00B86FC6"/>
    <w:rsid w:val="00B87774"/>
    <w:rsid w:val="00B9259C"/>
    <w:rsid w:val="00B94651"/>
    <w:rsid w:val="00BA0F7B"/>
    <w:rsid w:val="00BA275B"/>
    <w:rsid w:val="00BA3A3A"/>
    <w:rsid w:val="00BB3185"/>
    <w:rsid w:val="00BB6763"/>
    <w:rsid w:val="00BB6891"/>
    <w:rsid w:val="00BC5118"/>
    <w:rsid w:val="00BD01ED"/>
    <w:rsid w:val="00BD1E13"/>
    <w:rsid w:val="00BD223D"/>
    <w:rsid w:val="00BD3501"/>
    <w:rsid w:val="00BD4208"/>
    <w:rsid w:val="00BD7AFD"/>
    <w:rsid w:val="00BE21C9"/>
    <w:rsid w:val="00BE2755"/>
    <w:rsid w:val="00BE4C67"/>
    <w:rsid w:val="00BF55A5"/>
    <w:rsid w:val="00BF7F98"/>
    <w:rsid w:val="00C050BA"/>
    <w:rsid w:val="00C111EC"/>
    <w:rsid w:val="00C21D3C"/>
    <w:rsid w:val="00C2750C"/>
    <w:rsid w:val="00C30ABB"/>
    <w:rsid w:val="00C37CDE"/>
    <w:rsid w:val="00C4406E"/>
    <w:rsid w:val="00C4435F"/>
    <w:rsid w:val="00C51D8F"/>
    <w:rsid w:val="00C52C70"/>
    <w:rsid w:val="00C5424D"/>
    <w:rsid w:val="00C710C6"/>
    <w:rsid w:val="00C73F5C"/>
    <w:rsid w:val="00C76ABB"/>
    <w:rsid w:val="00C94EB9"/>
    <w:rsid w:val="00CA6EAF"/>
    <w:rsid w:val="00CA7351"/>
    <w:rsid w:val="00CB5D9A"/>
    <w:rsid w:val="00CC4EE3"/>
    <w:rsid w:val="00CD2CB6"/>
    <w:rsid w:val="00CD5603"/>
    <w:rsid w:val="00CE0857"/>
    <w:rsid w:val="00CE473C"/>
    <w:rsid w:val="00CE7C23"/>
    <w:rsid w:val="00D05A59"/>
    <w:rsid w:val="00D146C9"/>
    <w:rsid w:val="00D2159B"/>
    <w:rsid w:val="00D22D98"/>
    <w:rsid w:val="00D22DCF"/>
    <w:rsid w:val="00D347BE"/>
    <w:rsid w:val="00D42E92"/>
    <w:rsid w:val="00D51360"/>
    <w:rsid w:val="00D549FF"/>
    <w:rsid w:val="00D5737B"/>
    <w:rsid w:val="00D64E2D"/>
    <w:rsid w:val="00D72DC5"/>
    <w:rsid w:val="00D736AB"/>
    <w:rsid w:val="00D73F1B"/>
    <w:rsid w:val="00D7586B"/>
    <w:rsid w:val="00D86757"/>
    <w:rsid w:val="00D87ED9"/>
    <w:rsid w:val="00D922D5"/>
    <w:rsid w:val="00DA3606"/>
    <w:rsid w:val="00DA58C8"/>
    <w:rsid w:val="00DA7473"/>
    <w:rsid w:val="00DB25C1"/>
    <w:rsid w:val="00DB2917"/>
    <w:rsid w:val="00DB4678"/>
    <w:rsid w:val="00DC395E"/>
    <w:rsid w:val="00DD5037"/>
    <w:rsid w:val="00DD5092"/>
    <w:rsid w:val="00DD558B"/>
    <w:rsid w:val="00DE0E46"/>
    <w:rsid w:val="00DF1488"/>
    <w:rsid w:val="00DF27F0"/>
    <w:rsid w:val="00DF2876"/>
    <w:rsid w:val="00DF37AC"/>
    <w:rsid w:val="00DF52B8"/>
    <w:rsid w:val="00E00528"/>
    <w:rsid w:val="00E10F8C"/>
    <w:rsid w:val="00E154A0"/>
    <w:rsid w:val="00E1651F"/>
    <w:rsid w:val="00E2059A"/>
    <w:rsid w:val="00E27E69"/>
    <w:rsid w:val="00E330BE"/>
    <w:rsid w:val="00E36C4D"/>
    <w:rsid w:val="00E3710A"/>
    <w:rsid w:val="00E518E3"/>
    <w:rsid w:val="00E51E51"/>
    <w:rsid w:val="00E566B6"/>
    <w:rsid w:val="00E60819"/>
    <w:rsid w:val="00E63AF0"/>
    <w:rsid w:val="00E63BF4"/>
    <w:rsid w:val="00E77586"/>
    <w:rsid w:val="00E822EC"/>
    <w:rsid w:val="00E848D4"/>
    <w:rsid w:val="00EB48BD"/>
    <w:rsid w:val="00EB4ABE"/>
    <w:rsid w:val="00EC2FFE"/>
    <w:rsid w:val="00EC3400"/>
    <w:rsid w:val="00EC4473"/>
    <w:rsid w:val="00ED149E"/>
    <w:rsid w:val="00ED3007"/>
    <w:rsid w:val="00ED6999"/>
    <w:rsid w:val="00ED7435"/>
    <w:rsid w:val="00EE2DEB"/>
    <w:rsid w:val="00EE698D"/>
    <w:rsid w:val="00EE79B2"/>
    <w:rsid w:val="00EF25F5"/>
    <w:rsid w:val="00F017FB"/>
    <w:rsid w:val="00F04BEC"/>
    <w:rsid w:val="00F06093"/>
    <w:rsid w:val="00F06787"/>
    <w:rsid w:val="00F13E90"/>
    <w:rsid w:val="00F26689"/>
    <w:rsid w:val="00F31714"/>
    <w:rsid w:val="00F3247D"/>
    <w:rsid w:val="00F33EC5"/>
    <w:rsid w:val="00F36FB2"/>
    <w:rsid w:val="00F436B5"/>
    <w:rsid w:val="00F478A9"/>
    <w:rsid w:val="00F5035D"/>
    <w:rsid w:val="00F50BE1"/>
    <w:rsid w:val="00F547CA"/>
    <w:rsid w:val="00F553B3"/>
    <w:rsid w:val="00F55889"/>
    <w:rsid w:val="00F56A24"/>
    <w:rsid w:val="00F624E2"/>
    <w:rsid w:val="00F67558"/>
    <w:rsid w:val="00F7147C"/>
    <w:rsid w:val="00F83B7E"/>
    <w:rsid w:val="00F85521"/>
    <w:rsid w:val="00F87C72"/>
    <w:rsid w:val="00F9100D"/>
    <w:rsid w:val="00FA597F"/>
    <w:rsid w:val="00FA7794"/>
    <w:rsid w:val="00FB2806"/>
    <w:rsid w:val="00FC1C32"/>
    <w:rsid w:val="00FC7E19"/>
    <w:rsid w:val="00FD1253"/>
    <w:rsid w:val="00FD2CDB"/>
    <w:rsid w:val="00FD4E54"/>
    <w:rsid w:val="00FE36FA"/>
    <w:rsid w:val="00FE588A"/>
    <w:rsid w:val="00FF5914"/>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AB97E4"/>
  <w15:docId w15:val="{867A6C5D-A7D8-4C6D-9D79-F88716FE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6DC0"/>
    <w:pPr>
      <w:tabs>
        <w:tab w:val="center" w:pos="4320"/>
        <w:tab w:val="right" w:pos="8640"/>
      </w:tabs>
    </w:pPr>
  </w:style>
  <w:style w:type="character" w:customStyle="1" w:styleId="FooterChar">
    <w:name w:val="Footer Char"/>
    <w:basedOn w:val="DefaultParagraphFont"/>
    <w:link w:val="Footer"/>
    <w:rsid w:val="007B6D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DC0"/>
    <w:rPr>
      <w:rFonts w:ascii="Tahoma" w:hAnsi="Tahoma" w:cs="Tahoma"/>
      <w:sz w:val="16"/>
      <w:szCs w:val="16"/>
    </w:rPr>
  </w:style>
  <w:style w:type="character" w:customStyle="1" w:styleId="BalloonTextChar">
    <w:name w:val="Balloon Text Char"/>
    <w:basedOn w:val="DefaultParagraphFont"/>
    <w:link w:val="BalloonText"/>
    <w:uiPriority w:val="99"/>
    <w:semiHidden/>
    <w:rsid w:val="007B6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3F5E-CB24-4D2A-83C0-A858EC8C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dc:creator>
  <cp:lastModifiedBy>Alan Clark</cp:lastModifiedBy>
  <cp:revision>6</cp:revision>
  <cp:lastPrinted>2021-07-09T01:36:00Z</cp:lastPrinted>
  <dcterms:created xsi:type="dcterms:W3CDTF">2021-07-09T00:25:00Z</dcterms:created>
  <dcterms:modified xsi:type="dcterms:W3CDTF">2021-07-09T11:02:00Z</dcterms:modified>
</cp:coreProperties>
</file>